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ponownie wspiera sprzedaż Akzo Nobel</w:t>
      </w:r>
    </w:p>
    <w:p>
      <w:pPr>
        <w:spacing w:before="0" w:after="500" w:line="264" w:lineRule="auto"/>
      </w:pPr>
      <w:r>
        <w:rPr>
          <w:rFonts w:ascii="calibri" w:hAnsi="calibri" w:eastAsia="calibri" w:cs="calibri"/>
          <w:sz w:val="36"/>
          <w:szCs w:val="36"/>
          <w:b/>
        </w:rPr>
        <w:t xml:space="preserve">Spółka Cursor odpowiada za kompleksowe wsparcie sprzedaży produktów Akzo Nobel. Usługa jest realizowana w ponad 200 marketach budowlanych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współpracy z Akzo Nobel zespół przeszkolonych doradców Cursor wspiera sprzedaż farb </w:t>
      </w:r>
    </w:p>
    <w:p>
      <w:r>
        <w:rPr>
          <w:rFonts w:ascii="calibri" w:hAnsi="calibri" w:eastAsia="calibri" w:cs="calibri"/>
          <w:sz w:val="24"/>
          <w:szCs w:val="24"/>
        </w:rPr>
        <w:t xml:space="preserve"> i produktów do impregnacji drewna, oferowanych pod markami Dulux, Nobiles, Hammeraite </w:t>
      </w:r>
    </w:p>
    <w:p>
      <w:r>
        <w:rPr>
          <w:rFonts w:ascii="calibri" w:hAnsi="calibri" w:eastAsia="calibri" w:cs="calibri"/>
          <w:sz w:val="24"/>
          <w:szCs w:val="24"/>
        </w:rPr>
        <w:t xml:space="preserve"> i Sadolin. W kilkuset sklepach budowlanych, m.in. w sieciach OBI, Castorama, Leroy Merlin </w:t>
      </w:r>
    </w:p>
    <w:p>
      <w:r>
        <w:rPr>
          <w:rFonts w:ascii="calibri" w:hAnsi="calibri" w:eastAsia="calibri" w:cs="calibri"/>
          <w:sz w:val="24"/>
          <w:szCs w:val="24"/>
        </w:rPr>
        <w:t xml:space="preserve"> i Praktiker, profesjonalni sprzedawcy weryfikują potrzeby klientów i pomagają im wybrać odpowiedni produkt. Cursor odpowiada także za merchandising, dbając o stałą dostępność produktów AkzoNobel i prawidłową ekspozycję materiałów POS.</w:t>
      </w:r>
    </w:p>
    <w:p>
      <w:pPr>
        <w:spacing w:before="0" w:after="300"/>
      </w:pPr>
      <w:r>
        <w:rPr>
          <w:rFonts w:ascii="calibri" w:hAnsi="calibri" w:eastAsia="calibri" w:cs="calibri"/>
          <w:sz w:val="24"/>
          <w:szCs w:val="24"/>
        </w:rPr>
        <w:t xml:space="preserve">Cursor od blisko 10 lat prowadzi akcje wspierające sprzedaż produktów z portfolio Akzo Nobel. Zdecydowaliśmy się na współpracę z partnerem, który posiada odpowiednie zasoby do realizacji projektu na terenie całej Polski i elastycznie reaguje na nasze potrzeby biznesowe – mówi Katarzyna Galińska, Menedżer ds. Kluczowych Klientów z Akzo Nobel.</w:t>
      </w:r>
    </w:p>
    <w:p>
      <w:pPr>
        <w:spacing w:before="0" w:after="300"/>
      </w:pPr>
    </w:p>
    <w:p>
      <w:pPr>
        <w:spacing w:before="0" w:after="300"/>
      </w:pPr>
      <w:r>
        <w:rPr>
          <w:rFonts w:ascii="calibri" w:hAnsi="calibri" w:eastAsia="calibri" w:cs="calibri"/>
          <w:sz w:val="24"/>
          <w:szCs w:val="24"/>
        </w:rPr>
        <w:t xml:space="preserve">Usługę dla Akzo Nobel realizuje kilkusetosobowy, doświadczony zespół doradców sprzedaży Cursora. Każda z osób zaangażowanych w projekt przeszła zaawansowane szkolenie produktowe. Wiedza doradców oraz ich kompetencje z zakresu obsługi klienta ułatwiają konsumentom podejmowanie decyzji zakupowych, przekładając się na wyniki sprzedaży.</w:t>
      </w:r>
    </w:p>
    <w:p>
      <w:pPr>
        <w:spacing w:before="0" w:after="300"/>
      </w:pPr>
      <w:r>
        <w:rPr>
          <w:rFonts w:ascii="calibri" w:hAnsi="calibri" w:eastAsia="calibri" w:cs="calibri"/>
          <w:sz w:val="24"/>
          <w:szCs w:val="24"/>
        </w:rPr>
        <w:t xml:space="preserve">Nasza usługa zapewnia bezpośrednie dotarcie do potencjalnych konsumentów. Wspiera budowanie świadomości marki wśród grupy docelowej i zwiększanie sprzedaży produktów lub usług naszych klientów. Rozbudowana struktura terenowa Cursora umożliwia uruchomienie nawet bardzo dużych projektów w krótkim czasie – mówi Przemysław Bogdański, dyrektor zarządzający usługami field marketing w Cursor SA.</w:t>
      </w:r>
    </w:p>
    <w:p>
      <w:pPr>
        <w:spacing w:before="0" w:after="300"/>
      </w:pPr>
      <w:r>
        <w:rPr>
          <w:rFonts w:ascii="calibri" w:hAnsi="calibri" w:eastAsia="calibri" w:cs="calibri"/>
          <w:sz w:val="24"/>
          <w:szCs w:val="24"/>
        </w:rPr>
        <w:t xml:space="preserve">Realizacja projektu jest wspierana przez nowoczesne systemy raportowe, pozwalające na bieżącą kontrolę czasu i jakości pracy doradców sprzedaży oraz merchandiserów w trybie online. Narzędzie umożliwia również natychmiastowy przepływ danych pochodzących z audytów punktów handlowych.</w:t>
      </w:r>
    </w:p>
    <w:p>
      <w:pPr>
        <w:spacing w:before="0" w:after="300"/>
      </w:pPr>
      <w:r>
        <w:rPr>
          <w:rFonts w:ascii="calibri" w:hAnsi="calibri" w:eastAsia="calibri" w:cs="calibri"/>
          <w:sz w:val="24"/>
          <w:szCs w:val="24"/>
        </w:rPr>
        <w:t xml:space="preserve">Cursor realizuje dla Akzo Nobel także komplementarne usługi z obszaru field marketingu, np. eventy, akcje tajemniczy klient oraz audyty. Odpowiada także za logistykę materiałów POS oraz produkcję materiałów wsparcia sprzedaży, m.in. gadżetów. Zespoły terenowe spółki każdego miesiąca odwiedzają kilkaset punktów sprzedaży na terenie całego kraju, w których oferowane są produkty Akzo Nobel.</w:t>
      </w:r>
    </w:p>
    <w:p>
      <w:pPr>
        <w:spacing w:before="0" w:after="300"/>
      </w:pPr>
      <w:r>
        <w:rPr>
          <w:rFonts w:ascii="calibri" w:hAnsi="calibri" w:eastAsia="calibri" w:cs="calibri"/>
          <w:sz w:val="24"/>
          <w:szCs w:val="24"/>
        </w:rPr>
        <w:t xml:space="preserve">Akzo Nobel jest największym światowym producentem farb i powłok oraz głównym producentem chemikaliów specjalistycznych. Swoje produkty oferuje zarówno klientom indywidualnym, jak </w:t>
      </w:r>
    </w:p>
    <w:p>
      <w:r>
        <w:rPr>
          <w:rFonts w:ascii="calibri" w:hAnsi="calibri" w:eastAsia="calibri" w:cs="calibri"/>
          <w:sz w:val="24"/>
          <w:szCs w:val="24"/>
        </w:rPr>
        <w:t xml:space="preserve"> i profesjonalistom.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2026-02-26T06:40:34+01:00</dcterms:created>
  <dcterms:modified xsi:type="dcterms:W3CDTF">2026-02-26T06:40:34+01:00</dcterms:modified>
</cp:coreProperties>
</file>

<file path=docProps/custom.xml><?xml version="1.0" encoding="utf-8"?>
<Properties xmlns="http://schemas.openxmlformats.org/officeDocument/2006/custom-properties" xmlns:vt="http://schemas.openxmlformats.org/officeDocument/2006/docPropsVTypes"/>
</file>